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E54" w:rsidRPr="00446F9D" w:rsidRDefault="00A85E54" w:rsidP="00A85E54">
      <w:pPr>
        <w:pStyle w:val="Header"/>
        <w:tabs>
          <w:tab w:val="clear" w:pos="4536"/>
        </w:tabs>
        <w:rPr>
          <w:i/>
        </w:rPr>
      </w:pPr>
      <w:r w:rsidRPr="00446F9D">
        <w:t>TSG-RAN WG1 #</w:t>
      </w:r>
      <w:r w:rsidR="0056282E">
        <w:t>86</w:t>
      </w:r>
      <w:r w:rsidR="00AC2A5F">
        <w:t>bis</w:t>
      </w:r>
      <w:r w:rsidRPr="00446F9D">
        <w:tab/>
        <w:t>R1-</w:t>
      </w:r>
      <w:r w:rsidR="00C52ACD" w:rsidRPr="00C52ACD">
        <w:t>1609629</w:t>
      </w:r>
    </w:p>
    <w:p w:rsidR="00A85E54" w:rsidRPr="000833FA" w:rsidRDefault="004837C7" w:rsidP="00A85E54">
      <w:pPr>
        <w:pStyle w:val="Header"/>
        <w:rPr>
          <w:color w:val="000000"/>
        </w:rPr>
      </w:pPr>
      <w:r>
        <w:t>Lisbon</w:t>
      </w:r>
      <w:r w:rsidR="0056282E">
        <w:t xml:space="preserve">, </w:t>
      </w:r>
      <w:r>
        <w:t>Portugal</w:t>
      </w:r>
      <w:r w:rsidR="0056282E">
        <w:t xml:space="preserve">, </w:t>
      </w:r>
      <w:r w:rsidR="00AC2A5F">
        <w:t>October</w:t>
      </w:r>
      <w:r w:rsidR="0056282E">
        <w:t xml:space="preserve"> </w:t>
      </w:r>
      <w:r w:rsidR="00AC2A5F">
        <w:t>10 – 14</w:t>
      </w:r>
      <w:r w:rsidR="0056282E">
        <w:t>,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0" w:name="Title"/>
      <w:bookmarkEnd w:id="0"/>
      <w:r w:rsidRPr="0003368D">
        <w:tab/>
      </w:r>
      <w:r w:rsidR="00037C51" w:rsidRPr="00E220C0">
        <w:t xml:space="preserve">On </w:t>
      </w:r>
      <w:proofErr w:type="spellStart"/>
      <w:r w:rsidR="00DB3BC8">
        <w:t>subframes</w:t>
      </w:r>
      <w:proofErr w:type="spellEnd"/>
    </w:p>
    <w:p w:rsidR="00FE5799" w:rsidRPr="00E220C0" w:rsidRDefault="00FE5799" w:rsidP="00FE5799">
      <w:pPr>
        <w:pStyle w:val="Header"/>
        <w:tabs>
          <w:tab w:val="left" w:pos="1800"/>
        </w:tabs>
      </w:pPr>
      <w:r w:rsidRPr="00E220C0">
        <w:t>Agenda Item:</w:t>
      </w:r>
      <w:bookmarkStart w:id="1" w:name="Source"/>
      <w:bookmarkEnd w:id="1"/>
      <w:r w:rsidRPr="00E220C0">
        <w:tab/>
      </w:r>
      <w:r w:rsidR="00D516DD" w:rsidRPr="00537B4C">
        <w:t>8</w:t>
      </w:r>
      <w:r w:rsidR="008F77A7" w:rsidRPr="00537B4C">
        <w:t>.1.</w:t>
      </w:r>
      <w:r w:rsidR="00537B4C" w:rsidRPr="00537B4C">
        <w:t>2.2</w:t>
      </w:r>
    </w:p>
    <w:p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Heading1"/>
        <w:spacing w:before="180"/>
        <w:ind w:left="562" w:hanging="562"/>
      </w:pPr>
      <w:r>
        <w:t>Introduction</w:t>
      </w:r>
    </w:p>
    <w:p w:rsidR="00DB3BC8" w:rsidRDefault="00DB3BC8" w:rsidP="0056282E">
      <w:pPr>
        <w:pStyle w:val="BodyText"/>
      </w:pPr>
      <w:r>
        <w:t>At RAN1#86</w:t>
      </w:r>
      <w:r w:rsidR="0056282E">
        <w:t xml:space="preserve">, </w:t>
      </w:r>
      <w:r w:rsidR="00587AD2">
        <w:t>several</w:t>
      </w:r>
      <w:r>
        <w:t xml:space="preserve"> agreements around the frame structure was agreed upon</w:t>
      </w:r>
      <w:r w:rsidR="00D350E3">
        <w:t xml:space="preserve"> (see the </w:t>
      </w:r>
      <w:r w:rsidR="00DD4245">
        <w:t>A</w:t>
      </w:r>
      <w:r w:rsidR="00D350E3">
        <w:t>ppendix</w:t>
      </w:r>
      <w:r w:rsidR="00DD4245">
        <w:t xml:space="preserve"> B</w:t>
      </w:r>
      <w:r w:rsidR="00D350E3">
        <w:t xml:space="preserve"> for the complete decisions)</w:t>
      </w:r>
    </w:p>
    <w:p w:rsidR="00DB3BC8" w:rsidRPr="00DF7AC8" w:rsidRDefault="00DB3BC8" w:rsidP="00DB3BC8">
      <w:pPr>
        <w:numPr>
          <w:ilvl w:val="0"/>
          <w:numId w:val="15"/>
        </w:numPr>
        <w:rPr>
          <w:rFonts w:eastAsia="MS Mincho"/>
          <w:lang w:eastAsia="ja-JP"/>
        </w:rPr>
      </w:pPr>
      <w:r w:rsidRPr="00DF7AC8">
        <w:rPr>
          <w:rFonts w:eastAsia="MS Mincho"/>
          <w:lang w:eastAsia="ja-JP"/>
        </w:rPr>
        <w:t xml:space="preserve">A </w:t>
      </w:r>
      <w:proofErr w:type="spellStart"/>
      <w:r w:rsidRPr="00DF7AC8">
        <w:rPr>
          <w:rFonts w:eastAsia="MS Mincho"/>
          <w:lang w:eastAsia="ja-JP"/>
        </w:rPr>
        <w:t>subframe</w:t>
      </w:r>
      <w:proofErr w:type="spellEnd"/>
      <w:r w:rsidRPr="00DF7AC8">
        <w:rPr>
          <w:rFonts w:eastAsia="MS Mincho"/>
          <w:lang w:eastAsia="ja-JP"/>
        </w:rPr>
        <w:t xml:space="preserve"> duration is defined by </w:t>
      </w:r>
      <w:r>
        <w:rPr>
          <w:rFonts w:eastAsia="MS Mincho"/>
          <w:lang w:eastAsia="ja-JP"/>
        </w:rPr>
        <w:t>14</w:t>
      </w:r>
      <w:r w:rsidRPr="00DF7AC8">
        <w:rPr>
          <w:rFonts w:eastAsia="MS Mincho"/>
          <w:lang w:eastAsia="ja-JP"/>
        </w:rPr>
        <w:t xml:space="preserve"> OFDM symbols </w:t>
      </w:r>
      <w:r>
        <w:rPr>
          <w:rFonts w:eastAsia="MS Mincho"/>
          <w:lang w:eastAsia="ja-JP"/>
        </w:rPr>
        <w:t>in</w:t>
      </w:r>
      <w:r w:rsidRPr="00DF7AC8">
        <w:rPr>
          <w:rFonts w:eastAsia="MS Mincho"/>
          <w:lang w:eastAsia="ja-JP"/>
        </w:rPr>
        <w:t xml:space="preserve"> </w:t>
      </w:r>
      <w:r w:rsidRPr="00DF7AC8">
        <w:rPr>
          <w:rFonts w:eastAsia="MS Mincho" w:hint="eastAsia"/>
          <w:lang w:eastAsia="ja-JP"/>
        </w:rPr>
        <w:t xml:space="preserve">a reference numerology </w:t>
      </w:r>
    </w:p>
    <w:p w:rsidR="00DB3BC8" w:rsidRDefault="00DB3BC8" w:rsidP="00DB3BC8">
      <w:pPr>
        <w:pStyle w:val="BodyText"/>
        <w:numPr>
          <w:ilvl w:val="0"/>
          <w:numId w:val="15"/>
        </w:numPr>
      </w:pPr>
      <w:r>
        <w:t xml:space="preserve">A </w:t>
      </w:r>
      <w:proofErr w:type="spellStart"/>
      <w:r>
        <w:t>subframe</w:t>
      </w:r>
      <w:proofErr w:type="spellEnd"/>
      <w:r>
        <w:t xml:space="preserve"> duration for a reference numerology with </w:t>
      </w:r>
      <w:r w:rsidRPr="00C50F8E">
        <w:rPr>
          <w:lang w:eastAsia="ja-JP"/>
        </w:rPr>
        <w:t>subcarrier spacing (2</w:t>
      </w:r>
      <w:r w:rsidRPr="00C50F8E">
        <w:rPr>
          <w:vertAlign w:val="superscript"/>
          <w:lang w:eastAsia="ja-JP"/>
        </w:rPr>
        <w:t>m</w:t>
      </w:r>
      <w:r w:rsidRPr="00C50F8E">
        <w:rPr>
          <w:lang w:eastAsia="ja-JP"/>
        </w:rPr>
        <w:t>*15)</w:t>
      </w:r>
      <w:r w:rsidR="00D350E3">
        <w:rPr>
          <w:lang w:eastAsia="ja-JP"/>
        </w:rPr>
        <w:t> </w:t>
      </w:r>
      <w:r w:rsidRPr="00C50F8E">
        <w:rPr>
          <w:lang w:eastAsia="ja-JP"/>
        </w:rPr>
        <w:t>kHz is exactly 2</w:t>
      </w:r>
      <w:r>
        <w:rPr>
          <w:vertAlign w:val="superscript"/>
          <w:lang w:eastAsia="ja-JP"/>
        </w:rPr>
        <w:t>-m</w:t>
      </w:r>
      <w:r w:rsidRPr="00C50F8E">
        <w:rPr>
          <w:lang w:eastAsia="ja-JP"/>
        </w:rPr>
        <w:t xml:space="preserve"> </w:t>
      </w:r>
      <w:proofErr w:type="spellStart"/>
      <w:r>
        <w:rPr>
          <w:rFonts w:hint="eastAsia"/>
          <w:lang w:eastAsia="ja-JP"/>
        </w:rPr>
        <w:t>ms</w:t>
      </w:r>
      <w:proofErr w:type="spellEnd"/>
    </w:p>
    <w:p w:rsidR="00DB3BC8" w:rsidRDefault="00DB3BC8" w:rsidP="00DB3BC8">
      <w:pPr>
        <w:pStyle w:val="BodyText"/>
        <w:numPr>
          <w:ilvl w:val="0"/>
          <w:numId w:val="15"/>
        </w:numPr>
      </w:pPr>
      <w:r w:rsidRPr="00C50F8E">
        <w:rPr>
          <w:lang w:eastAsia="ja-JP"/>
        </w:rPr>
        <w:t xml:space="preserve">Symbol level alignment across different subcarrier </w:t>
      </w:r>
      <w:proofErr w:type="spellStart"/>
      <w:r w:rsidRPr="00C50F8E">
        <w:rPr>
          <w:lang w:eastAsia="ja-JP"/>
        </w:rPr>
        <w:t>spacings</w:t>
      </w:r>
      <w:proofErr w:type="spellEnd"/>
      <w:r w:rsidRPr="00C50F8E">
        <w:rPr>
          <w:lang w:eastAsia="ja-JP"/>
        </w:rPr>
        <w:t xml:space="preserve"> with the same CP overhead is assumed within a </w:t>
      </w:r>
      <w:proofErr w:type="spellStart"/>
      <w:r w:rsidRPr="00C50F8E">
        <w:rPr>
          <w:lang w:eastAsia="ja-JP"/>
        </w:rPr>
        <w:t>subframe</w:t>
      </w:r>
      <w:proofErr w:type="spellEnd"/>
      <w:r w:rsidRPr="00C50F8E">
        <w:rPr>
          <w:lang w:eastAsia="ja-JP"/>
        </w:rPr>
        <w:t xml:space="preserve"> duration in a NR carrier</w:t>
      </w:r>
    </w:p>
    <w:p w:rsidR="00DB3BC8" w:rsidRDefault="00DB3BC8" w:rsidP="00DB3BC8">
      <w:pPr>
        <w:pStyle w:val="BodyText"/>
      </w:pPr>
      <w:r>
        <w:t xml:space="preserve">There is also a common understanding that, for 15 kHz subcarrier spacing, the NR OFDM symbol duration is identical to that of LTE with every seventh OFDM symbol having a slightly longer cyclic prefix than the subsequent six OFDM symbols. </w:t>
      </w:r>
    </w:p>
    <w:p w:rsidR="00587AD2" w:rsidRDefault="00587AD2" w:rsidP="00DB3BC8">
      <w:pPr>
        <w:pStyle w:val="BodyText"/>
      </w:pPr>
      <w:r>
        <w:t>Unfortunately, these agreements can in some situations contradict each other</w:t>
      </w:r>
      <w:r w:rsidR="00AC2A5F">
        <w:t xml:space="preserve"> as described in Appendix A</w:t>
      </w:r>
      <w:r>
        <w:t>.</w:t>
      </w:r>
    </w:p>
    <w:p w:rsidR="00FE5799" w:rsidRDefault="00037C51" w:rsidP="00FE5799">
      <w:pPr>
        <w:pStyle w:val="Heading1"/>
        <w:spacing w:before="180"/>
        <w:ind w:left="562" w:hanging="562"/>
      </w:pPr>
      <w:r>
        <w:t>Discussion</w:t>
      </w:r>
    </w:p>
    <w:p w:rsidR="00DD4245" w:rsidRDefault="00AC2A5F" w:rsidP="00DD4245">
      <w:pPr>
        <w:pStyle w:val="BodyText"/>
        <w:rPr>
          <w:lang w:eastAsia="ja-JP"/>
        </w:rPr>
      </w:pPr>
      <w:r>
        <w:rPr>
          <w:lang w:eastAsia="ja-JP"/>
        </w:rPr>
        <w:t xml:space="preserve">The main purpose of the </w:t>
      </w:r>
      <w:proofErr w:type="spellStart"/>
      <w:r>
        <w:rPr>
          <w:lang w:eastAsia="ja-JP"/>
        </w:rPr>
        <w:t>subframe</w:t>
      </w:r>
      <w:proofErr w:type="spellEnd"/>
      <w:r>
        <w:rPr>
          <w:lang w:eastAsia="ja-JP"/>
        </w:rPr>
        <w:t xml:space="preserve"> is to act as a numerology-independent timing reference.</w:t>
      </w:r>
      <w:r>
        <w:t xml:space="preserve"> </w:t>
      </w:r>
      <w:r>
        <w:rPr>
          <w:lang w:eastAsia="ja-JP"/>
        </w:rPr>
        <w:t xml:space="preserve">The benefit of supporting multiple reference numerologies is therefore questionable, especially in a multi-cell scenario with different cells using a different reference numerology, and selecting a single reference numerology (i.e. a single </w:t>
      </w:r>
      <w:proofErr w:type="spellStart"/>
      <w:r>
        <w:rPr>
          <w:lang w:eastAsia="ja-JP"/>
        </w:rPr>
        <w:t>subframe</w:t>
      </w:r>
      <w:proofErr w:type="spellEnd"/>
      <w:r>
        <w:rPr>
          <w:lang w:eastAsia="ja-JP"/>
        </w:rPr>
        <w:t xml:space="preserve"> duration) is sufficient and simplifies the overall design. </w:t>
      </w:r>
      <w:r w:rsidR="00DD4245">
        <w:rPr>
          <w:lang w:eastAsia="ja-JP"/>
        </w:rPr>
        <w:t xml:space="preserve">Note that the reference numerology is used to define the </w:t>
      </w:r>
      <w:proofErr w:type="spellStart"/>
      <w:r w:rsidR="00DD4245">
        <w:rPr>
          <w:lang w:eastAsia="ja-JP"/>
        </w:rPr>
        <w:t>subframe</w:t>
      </w:r>
      <w:proofErr w:type="spellEnd"/>
      <w:r w:rsidR="00DD4245">
        <w:rPr>
          <w:lang w:eastAsia="ja-JP"/>
        </w:rPr>
        <w:t xml:space="preserve"> duration and </w:t>
      </w:r>
      <w:r w:rsidR="00DD4245">
        <w:rPr>
          <w:i/>
          <w:lang w:eastAsia="ja-JP"/>
        </w:rPr>
        <w:t>does not</w:t>
      </w:r>
      <w:r w:rsidR="00DD4245">
        <w:rPr>
          <w:lang w:eastAsia="ja-JP"/>
        </w:rPr>
        <w:t xml:space="preserve"> restrict the numerologies and slot durations possible to use for actual transmission. A reference numerology of 15 kHz, resulting in a 1 </w:t>
      </w:r>
      <w:proofErr w:type="spellStart"/>
      <w:r w:rsidR="00DD4245">
        <w:rPr>
          <w:lang w:eastAsia="ja-JP"/>
        </w:rPr>
        <w:t>ms</w:t>
      </w:r>
      <w:proofErr w:type="spellEnd"/>
      <w:r w:rsidR="00DD4245">
        <w:rPr>
          <w:lang w:eastAsia="ja-JP"/>
        </w:rPr>
        <w:t xml:space="preserve"> </w:t>
      </w:r>
      <w:proofErr w:type="spellStart"/>
      <w:r w:rsidR="00DD4245">
        <w:rPr>
          <w:lang w:eastAsia="ja-JP"/>
        </w:rPr>
        <w:t>subframe</w:t>
      </w:r>
      <w:proofErr w:type="spellEnd"/>
      <w:r w:rsidR="00DD4245">
        <w:rPr>
          <w:lang w:eastAsia="ja-JP"/>
        </w:rPr>
        <w:t xml:space="preserve"> duration, is recommended as it simplifies interaction with LTE. </w:t>
      </w:r>
    </w:p>
    <w:p w:rsidR="00DD4245" w:rsidRDefault="00DD4245" w:rsidP="00DD4245">
      <w:pPr>
        <w:pStyle w:val="Heading1"/>
        <w:spacing w:before="180"/>
        <w:ind w:left="562" w:hanging="562"/>
      </w:pPr>
      <w:r>
        <w:t>Conclusion</w:t>
      </w:r>
    </w:p>
    <w:p w:rsidR="00DD4245" w:rsidRPr="00214784" w:rsidRDefault="00DD4245" w:rsidP="00DD4245">
      <w:pPr>
        <w:pStyle w:val="BodyText"/>
      </w:pPr>
      <w:r>
        <w:t xml:space="preserve">It is suggested to define the </w:t>
      </w:r>
      <w:proofErr w:type="spellStart"/>
      <w:r>
        <w:t>subframe</w:t>
      </w:r>
      <w:proofErr w:type="spellEnd"/>
      <w:r>
        <w:t xml:space="preserve"> duration to be 1 </w:t>
      </w:r>
      <w:proofErr w:type="spellStart"/>
      <w:r>
        <w:t>ms</w:t>
      </w:r>
      <w:proofErr w:type="spellEnd"/>
      <w:r>
        <w:t xml:space="preserve"> (i.e. setting the reference numerology used to define the </w:t>
      </w:r>
      <w:proofErr w:type="spellStart"/>
      <w:r>
        <w:t>subframe</w:t>
      </w:r>
      <w:proofErr w:type="spellEnd"/>
      <w:r>
        <w:t xml:space="preserve"> to 15 kHz). </w:t>
      </w:r>
    </w:p>
    <w:p w:rsidR="00025476" w:rsidRDefault="00025476">
      <w:pPr>
        <w:spacing w:after="200" w:line="276" w:lineRule="auto"/>
        <w:rPr>
          <w:rFonts w:ascii="Helvetica" w:eastAsia="MS Mincho" w:hAnsi="Helvetica" w:cs="Arial"/>
          <w:b/>
          <w:bCs/>
          <w:kern w:val="32"/>
          <w:sz w:val="28"/>
          <w:szCs w:val="32"/>
        </w:rPr>
      </w:pPr>
      <w:r>
        <w:br w:type="page"/>
      </w:r>
    </w:p>
    <w:p w:rsidR="00DD4245" w:rsidRDefault="00DD4245" w:rsidP="00DD4245">
      <w:pPr>
        <w:pStyle w:val="Heading1"/>
        <w:numPr>
          <w:ilvl w:val="0"/>
          <w:numId w:val="0"/>
        </w:numPr>
        <w:spacing w:before="180"/>
      </w:pPr>
      <w:r w:rsidRPr="00DB3BC8">
        <w:lastRenderedPageBreak/>
        <w:t xml:space="preserve">Appendix </w:t>
      </w:r>
      <w:r>
        <w:t xml:space="preserve">A </w:t>
      </w:r>
      <w:r w:rsidRPr="00DB3BC8">
        <w:t xml:space="preserve">– </w:t>
      </w:r>
      <w:r w:rsidR="00537B4C">
        <w:t>Possible c</w:t>
      </w:r>
      <w:r>
        <w:t xml:space="preserve">ontradictions resulting from </w:t>
      </w:r>
      <w:r w:rsidR="00537B4C">
        <w:t xml:space="preserve">previous </w:t>
      </w:r>
      <w:r>
        <w:t>RAN1 agreements</w:t>
      </w:r>
    </w:p>
    <w:p w:rsidR="00FB04C4" w:rsidRDefault="004C321E" w:rsidP="004C321E">
      <w:pPr>
        <w:pStyle w:val="BodyText"/>
      </w:pPr>
      <w:r>
        <w:t xml:space="preserve">Assuming symbol alignments, each OFDM symbol is split into two shorter OFDM symbols when moving to the next higher subcarrier spacing as shown in </w:t>
      </w:r>
      <w:r w:rsidR="00F21365">
        <w:fldChar w:fldCharType="begin"/>
      </w:r>
      <w:r w:rsidR="00F21365">
        <w:instrText xml:space="preserve"> REF _Ref460240078 \h </w:instrText>
      </w:r>
      <w:r w:rsidR="00F21365">
        <w:fldChar w:fldCharType="separate"/>
      </w:r>
      <w:r w:rsidR="00F21365">
        <w:t xml:space="preserve">Figure </w:t>
      </w:r>
      <w:r w:rsidR="00F21365">
        <w:rPr>
          <w:noProof/>
        </w:rPr>
        <w:t>1</w:t>
      </w:r>
      <w:r w:rsidR="00F21365">
        <w:fldChar w:fldCharType="end"/>
      </w:r>
      <w:r w:rsidR="00FB04C4">
        <w:t xml:space="preserve">. Starting with the LTE structure, this implies 14 OFDM symbols having a length of </w:t>
      </w:r>
    </w:p>
    <w:p w:rsidR="00DC085D" w:rsidRDefault="00FB04C4" w:rsidP="00FB04C4">
      <w:pPr>
        <w:pStyle w:val="BodyText"/>
        <w:numPr>
          <w:ilvl w:val="0"/>
          <w:numId w:val="16"/>
        </w:numPr>
      </w:pPr>
      <w:r>
        <w:t>exactly 1 </w:t>
      </w:r>
      <w:proofErr w:type="spellStart"/>
      <w:r>
        <w:t>ms</w:t>
      </w:r>
      <w:proofErr w:type="spellEnd"/>
      <w:r>
        <w:t xml:space="preserve"> at 15 kHz subcarrier spacing</w:t>
      </w:r>
      <w:r w:rsidR="00DC085D">
        <w:t>,</w:t>
      </w:r>
    </w:p>
    <w:p w:rsidR="00FB04C4" w:rsidRDefault="00FB04C4" w:rsidP="00FB04C4">
      <w:pPr>
        <w:pStyle w:val="BodyText"/>
        <w:numPr>
          <w:ilvl w:val="0"/>
          <w:numId w:val="16"/>
        </w:numPr>
      </w:pPr>
      <w:r>
        <w:t xml:space="preserve">exactly 0.5 </w:t>
      </w:r>
      <w:proofErr w:type="spellStart"/>
      <w:r>
        <w:t>ms</w:t>
      </w:r>
      <w:proofErr w:type="spellEnd"/>
      <w:r>
        <w:t xml:space="preserve"> at 30 kHz subcarrier spacing</w:t>
      </w:r>
    </w:p>
    <w:p w:rsidR="00DC085D" w:rsidRDefault="00DC085D" w:rsidP="00FB04C4">
      <w:pPr>
        <w:pStyle w:val="BodyText"/>
        <w:numPr>
          <w:ilvl w:val="0"/>
          <w:numId w:val="16"/>
        </w:numPr>
      </w:pPr>
      <w:r>
        <w:t xml:space="preserve">approximatively 0.2502 </w:t>
      </w:r>
      <w:proofErr w:type="spellStart"/>
      <w:r>
        <w:t>ms</w:t>
      </w:r>
      <w:proofErr w:type="spellEnd"/>
      <w:r>
        <w:t xml:space="preserve"> or 0.2497 </w:t>
      </w:r>
      <w:proofErr w:type="spellStart"/>
      <w:r>
        <w:t>ms</w:t>
      </w:r>
      <w:proofErr w:type="spellEnd"/>
      <w:r>
        <w:t xml:space="preserve"> at 60 kHz subcarrier spacing (the number depends on which sequence of 14 OFDM symbols that </w:t>
      </w:r>
      <w:r w:rsidR="00D350E3">
        <w:t>is</w:t>
      </w:r>
      <w:r>
        <w:t xml:space="preserve"> considered</w:t>
      </w:r>
      <w:r w:rsidR="00D350E3">
        <w:t xml:space="preserve">, see </w:t>
      </w:r>
      <w:r w:rsidR="00D350E3">
        <w:fldChar w:fldCharType="begin"/>
      </w:r>
      <w:r w:rsidR="00D350E3">
        <w:instrText xml:space="preserve"> REF _Ref460240078 \h </w:instrText>
      </w:r>
      <w:r w:rsidR="00D350E3">
        <w:fldChar w:fldCharType="separate"/>
      </w:r>
      <w:r w:rsidR="00D350E3">
        <w:t xml:space="preserve">Figure </w:t>
      </w:r>
      <w:r w:rsidR="00D350E3">
        <w:rPr>
          <w:noProof/>
        </w:rPr>
        <w:t>1</w:t>
      </w:r>
      <w:r w:rsidR="00D350E3">
        <w:fldChar w:fldCharType="end"/>
      </w:r>
      <w:r>
        <w:t>).</w:t>
      </w:r>
    </w:p>
    <w:p w:rsidR="00FB04C4" w:rsidRDefault="00DC085D" w:rsidP="004C321E">
      <w:pPr>
        <w:pStyle w:val="BodyText"/>
        <w:rPr>
          <w:lang w:eastAsia="ja-JP"/>
        </w:rPr>
      </w:pPr>
      <w:r>
        <w:t xml:space="preserve">Thus, as seen from these examples with a </w:t>
      </w:r>
      <w:proofErr w:type="spellStart"/>
      <w:r>
        <w:t>subframe</w:t>
      </w:r>
      <w:proofErr w:type="spellEnd"/>
      <w:r>
        <w:t xml:space="preserve"> duration of not exactly </w:t>
      </w:r>
      <w:r w:rsidRPr="00C50F8E">
        <w:rPr>
          <w:lang w:eastAsia="ja-JP"/>
        </w:rPr>
        <w:t>2</w:t>
      </w:r>
      <w:r>
        <w:rPr>
          <w:vertAlign w:val="superscript"/>
          <w:lang w:eastAsia="ja-JP"/>
        </w:rPr>
        <w:t>-m</w:t>
      </w:r>
      <w:r w:rsidRPr="00C50F8E">
        <w:rPr>
          <w:lang w:eastAsia="ja-JP"/>
        </w:rPr>
        <w:t xml:space="preserve"> </w:t>
      </w:r>
      <w:proofErr w:type="spellStart"/>
      <w:r>
        <w:rPr>
          <w:rFonts w:hint="eastAsia"/>
          <w:lang w:eastAsia="ja-JP"/>
        </w:rPr>
        <w:t>ms</w:t>
      </w:r>
      <w:proofErr w:type="spellEnd"/>
      <w:r>
        <w:rPr>
          <w:lang w:eastAsia="ja-JP"/>
        </w:rPr>
        <w:t xml:space="preserve"> for reference subcarrier </w:t>
      </w:r>
      <w:proofErr w:type="spellStart"/>
      <w:r>
        <w:rPr>
          <w:lang w:eastAsia="ja-JP"/>
        </w:rPr>
        <w:t>spacings</w:t>
      </w:r>
      <w:proofErr w:type="spellEnd"/>
      <w:r>
        <w:rPr>
          <w:lang w:eastAsia="ja-JP"/>
        </w:rPr>
        <w:t xml:space="preserve"> of 60 kHz and higher, the three agreements above can sometimes contradict each other.</w:t>
      </w:r>
    </w:p>
    <w:p w:rsidR="00DC085D" w:rsidRDefault="00DC085D" w:rsidP="004C321E">
      <w:pPr>
        <w:pStyle w:val="BodyText"/>
        <w:rPr>
          <w:lang w:eastAsia="ja-JP"/>
        </w:rPr>
      </w:pPr>
      <w:r>
        <w:rPr>
          <w:lang w:eastAsia="ja-JP"/>
        </w:rPr>
        <w:t>To resolve these contradictions, several options can be envisioned:</w:t>
      </w:r>
    </w:p>
    <w:p w:rsidR="00DC085D" w:rsidRDefault="00525831" w:rsidP="00DC085D">
      <w:pPr>
        <w:pStyle w:val="BodyText"/>
        <w:numPr>
          <w:ilvl w:val="0"/>
          <w:numId w:val="17"/>
        </w:numPr>
      </w:pPr>
      <w:r>
        <w:t xml:space="preserve">Restrict </w:t>
      </w:r>
      <w:r w:rsidR="00DC085D">
        <w:t xml:space="preserve">reference numerologies </w:t>
      </w:r>
      <w:r>
        <w:t>to</w:t>
      </w:r>
      <w:r w:rsidR="00DC085D">
        <w:t xml:space="preserve"> </w:t>
      </w:r>
      <w:r w:rsidR="00D350E3">
        <w:t xml:space="preserve">be at most </w:t>
      </w:r>
      <w:r w:rsidR="00DC085D">
        <w:t xml:space="preserve">30 kHz, i.e. not allowing </w:t>
      </w:r>
      <w:proofErr w:type="spellStart"/>
      <w:r w:rsidR="00DC085D">
        <w:t>subframes</w:t>
      </w:r>
      <w:proofErr w:type="spellEnd"/>
      <w:r w:rsidR="00DC085D">
        <w:t xml:space="preserve"> durations </w:t>
      </w:r>
      <w:r w:rsidR="00D350E3">
        <w:t xml:space="preserve">shorter than </w:t>
      </w:r>
      <w:r w:rsidR="00DC085D">
        <w:t xml:space="preserve">0.5 </w:t>
      </w:r>
      <w:proofErr w:type="spellStart"/>
      <w:r w:rsidR="00DC085D">
        <w:t>ms</w:t>
      </w:r>
      <w:r w:rsidR="00D350E3">
        <w:t>.</w:t>
      </w:r>
      <w:proofErr w:type="spellEnd"/>
      <w:r w:rsidR="00D350E3">
        <w:t xml:space="preserve"> Note that </w:t>
      </w:r>
      <w:r>
        <w:t xml:space="preserve">scheduling intervals shorter than the </w:t>
      </w:r>
      <w:proofErr w:type="spellStart"/>
      <w:r w:rsidR="007569CA">
        <w:t>subframe</w:t>
      </w:r>
      <w:proofErr w:type="spellEnd"/>
      <w:r>
        <w:t xml:space="preserve"> duration </w:t>
      </w:r>
      <w:r w:rsidR="00350180">
        <w:t>are</w:t>
      </w:r>
      <w:r>
        <w:t xml:space="preserve"> still possible according to the </w:t>
      </w:r>
      <w:r w:rsidR="007569CA">
        <w:t>discussions</w:t>
      </w:r>
      <w:r w:rsidR="00D350E3">
        <w:t xml:space="preserve"> at RAN1#86 and transmission durations shorter than 0.5 </w:t>
      </w:r>
      <w:proofErr w:type="spellStart"/>
      <w:r w:rsidR="00D350E3">
        <w:t>ms</w:t>
      </w:r>
      <w:proofErr w:type="spellEnd"/>
      <w:r w:rsidR="00D350E3">
        <w:t xml:space="preserve"> can be possible if needed (e.g. at mm-wave frequencies).</w:t>
      </w:r>
      <w:r w:rsidR="00DC085D">
        <w:t xml:space="preserve"> </w:t>
      </w:r>
    </w:p>
    <w:p w:rsidR="00665E2A" w:rsidRDefault="00525831" w:rsidP="00DC085D">
      <w:pPr>
        <w:pStyle w:val="BodyText"/>
        <w:numPr>
          <w:ilvl w:val="0"/>
          <w:numId w:val="17"/>
        </w:numPr>
      </w:pPr>
      <w:r>
        <w:t>Apply direct scaling of the LTE numerology to obtain the reference numerology</w:t>
      </w:r>
      <w:r w:rsidR="00350180">
        <w:t xml:space="preserve"> and define higher/lower numerologies using symbols alignment starting from the reference numerology.</w:t>
      </w:r>
      <w:r>
        <w:t xml:space="preserve"> </w:t>
      </w:r>
      <w:r w:rsidR="00350180">
        <w:t>Starting from a higher reference numerology, e.g. 60 kHz, and scaling down results in the 15 kHz numerology obtained as scaling of the 60 kHz reference numerology not having the same symbol boundaries as the LTE 15 kHz numerology.</w:t>
      </w:r>
      <w:r w:rsidR="00D350E3">
        <w:t xml:space="preserve"> </w:t>
      </w:r>
    </w:p>
    <w:p w:rsidR="00350180" w:rsidRDefault="00D350E3" w:rsidP="00DC085D">
      <w:pPr>
        <w:pStyle w:val="BodyText"/>
        <w:numPr>
          <w:ilvl w:val="0"/>
          <w:numId w:val="17"/>
        </w:numPr>
      </w:pPr>
      <w:r>
        <w:t xml:space="preserve">Accept that </w:t>
      </w:r>
      <w:proofErr w:type="spellStart"/>
      <w:r>
        <w:t>subframe</w:t>
      </w:r>
      <w:proofErr w:type="spellEnd"/>
      <w:r>
        <w:t xml:space="preserve"> durations are not always </w:t>
      </w:r>
      <w:r w:rsidRPr="00C50F8E">
        <w:rPr>
          <w:lang w:eastAsia="ja-JP"/>
        </w:rPr>
        <w:t>exactly 2</w:t>
      </w:r>
      <w:r>
        <w:rPr>
          <w:vertAlign w:val="superscript"/>
          <w:lang w:eastAsia="ja-JP"/>
        </w:rPr>
        <w:t>-m</w:t>
      </w:r>
      <w:r w:rsidRPr="00C50F8E">
        <w:rPr>
          <w:lang w:eastAsia="ja-JP"/>
        </w:rPr>
        <w:t xml:space="preserve"> </w:t>
      </w:r>
      <w:proofErr w:type="spellStart"/>
      <w:r>
        <w:rPr>
          <w:rFonts w:hint="eastAsia"/>
          <w:lang w:eastAsia="ja-JP"/>
        </w:rPr>
        <w:t>ms</w:t>
      </w:r>
      <w:proofErr w:type="spellEnd"/>
      <w:r>
        <w:rPr>
          <w:lang w:eastAsia="ja-JP"/>
        </w:rPr>
        <w:t xml:space="preserve"> in duration</w:t>
      </w:r>
      <w:r w:rsidR="00B52C5F">
        <w:rPr>
          <w:lang w:eastAsia="ja-JP"/>
        </w:rPr>
        <w:t xml:space="preserve"> (i.e. revert one of the RAN1 agreements)</w:t>
      </w:r>
      <w:r>
        <w:rPr>
          <w:lang w:eastAsia="ja-JP"/>
        </w:rPr>
        <w:t>.</w:t>
      </w:r>
    </w:p>
    <w:p w:rsidR="004067C0" w:rsidRPr="00D350E3" w:rsidRDefault="004067C0" w:rsidP="00D350E3">
      <w:pPr>
        <w:pStyle w:val="BodyText"/>
      </w:pPr>
    </w:p>
    <w:p w:rsidR="00F21365" w:rsidRDefault="00C55346" w:rsidP="00F21365">
      <w:pPr>
        <w:pStyle w:val="BodyText"/>
        <w:keepNext/>
      </w:pPr>
      <w:r w:rsidRPr="00C55346">
        <w:rPr>
          <w:noProof/>
        </w:rPr>
        <w:drawing>
          <wp:inline distT="0" distB="0" distL="0" distR="0" wp14:anchorId="76AE8CDA" wp14:editId="215E745F">
            <wp:extent cx="5239245" cy="2622430"/>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3289" cy="2624454"/>
                    </a:xfrm>
                    <a:prstGeom prst="rect">
                      <a:avLst/>
                    </a:prstGeom>
                    <a:noFill/>
                    <a:ln>
                      <a:noFill/>
                    </a:ln>
                  </pic:spPr>
                </pic:pic>
              </a:graphicData>
            </a:graphic>
          </wp:inline>
        </w:drawing>
      </w:r>
    </w:p>
    <w:p w:rsidR="00F21365" w:rsidRDefault="00F21365" w:rsidP="00F21365">
      <w:pPr>
        <w:pStyle w:val="Caption"/>
        <w:jc w:val="both"/>
      </w:pPr>
      <w:bookmarkStart w:id="3" w:name="_Ref460240078"/>
      <w:r>
        <w:t xml:space="preserve">Figure </w:t>
      </w:r>
      <w:r>
        <w:fldChar w:fldCharType="begin"/>
      </w:r>
      <w:r>
        <w:instrText xml:space="preserve"> SEQ Figure \* ARABIC </w:instrText>
      </w:r>
      <w:r>
        <w:fldChar w:fldCharType="separate"/>
      </w:r>
      <w:r>
        <w:rPr>
          <w:noProof/>
        </w:rPr>
        <w:t>1</w:t>
      </w:r>
      <w:r>
        <w:fldChar w:fldCharType="end"/>
      </w:r>
      <w:bookmarkEnd w:id="3"/>
      <w:r>
        <w:t xml:space="preserve">: Symbol alignment and </w:t>
      </w:r>
      <w:proofErr w:type="spellStart"/>
      <w:r>
        <w:t>subframe</w:t>
      </w:r>
      <w:proofErr w:type="spellEnd"/>
      <w:r>
        <w:t xml:space="preserve"> duration for different reference numerologies.</w:t>
      </w:r>
    </w:p>
    <w:p w:rsidR="00DB3BC8" w:rsidRDefault="00DB3BC8" w:rsidP="00D350E3">
      <w:pPr>
        <w:pStyle w:val="Heading1"/>
        <w:numPr>
          <w:ilvl w:val="0"/>
          <w:numId w:val="0"/>
        </w:numPr>
        <w:spacing w:before="180"/>
      </w:pPr>
    </w:p>
    <w:p w:rsidR="00C52ACD" w:rsidRDefault="00C52ACD">
      <w:pPr>
        <w:spacing w:after="200" w:line="276" w:lineRule="auto"/>
        <w:rPr>
          <w:rFonts w:ascii="Helvetica" w:eastAsia="MS Mincho" w:hAnsi="Helvetica" w:cs="Arial"/>
          <w:b/>
          <w:bCs/>
          <w:kern w:val="32"/>
          <w:sz w:val="28"/>
          <w:szCs w:val="32"/>
        </w:rPr>
      </w:pPr>
      <w:r>
        <w:br w:type="page"/>
      </w:r>
    </w:p>
    <w:p w:rsidR="009E70EF" w:rsidRDefault="00DB3BC8" w:rsidP="00D350E3">
      <w:pPr>
        <w:pStyle w:val="Heading1"/>
        <w:numPr>
          <w:ilvl w:val="0"/>
          <w:numId w:val="0"/>
        </w:numPr>
        <w:spacing w:before="180"/>
      </w:pPr>
      <w:bookmarkStart w:id="4" w:name="_GoBack"/>
      <w:bookmarkEnd w:id="4"/>
      <w:r w:rsidRPr="00DB3BC8">
        <w:lastRenderedPageBreak/>
        <w:t xml:space="preserve">Appendix </w:t>
      </w:r>
      <w:r w:rsidR="00DD4245">
        <w:t xml:space="preserve">B </w:t>
      </w:r>
      <w:r w:rsidRPr="00DB3BC8">
        <w:t>– Decisions from RAN1#86</w:t>
      </w:r>
    </w:p>
    <w:p w:rsidR="00DB3BC8" w:rsidRDefault="00DB3BC8" w:rsidP="00DB3BC8">
      <w:pPr>
        <w:rPr>
          <w:rFonts w:eastAsia="MS Mincho"/>
          <w:b/>
          <w:highlight w:val="green"/>
          <w:u w:val="single"/>
          <w:lang w:eastAsia="ja-JP"/>
        </w:rPr>
      </w:pPr>
    </w:p>
    <w:p w:rsidR="00DB3BC8" w:rsidRPr="00660E26" w:rsidRDefault="00DB3BC8" w:rsidP="00DB3BC8">
      <w:pPr>
        <w:rPr>
          <w:rFonts w:eastAsia="MS Mincho"/>
          <w:b/>
          <w:u w:val="single"/>
          <w:lang w:eastAsia="ja-JP"/>
        </w:rPr>
      </w:pPr>
      <w:r w:rsidRPr="00DF7AC8">
        <w:rPr>
          <w:rFonts w:eastAsia="MS Mincho" w:hint="eastAsia"/>
          <w:b/>
          <w:highlight w:val="green"/>
          <w:u w:val="single"/>
          <w:lang w:eastAsia="ja-JP"/>
        </w:rPr>
        <w:t>Agreements:</w:t>
      </w:r>
    </w:p>
    <w:p w:rsidR="00DB3BC8" w:rsidRPr="00DF7AC8" w:rsidRDefault="00DB3BC8" w:rsidP="00DB3BC8">
      <w:pPr>
        <w:numPr>
          <w:ilvl w:val="0"/>
          <w:numId w:val="13"/>
        </w:numPr>
        <w:rPr>
          <w:rFonts w:eastAsia="MS Mincho"/>
          <w:lang w:eastAsia="ja-JP"/>
        </w:rPr>
      </w:pPr>
      <w:r w:rsidRPr="00DF7AC8">
        <w:rPr>
          <w:rFonts w:eastAsia="MS Mincho"/>
          <w:lang w:eastAsia="ja-JP"/>
        </w:rPr>
        <w:t xml:space="preserve">A </w:t>
      </w:r>
      <w:proofErr w:type="spellStart"/>
      <w:r w:rsidRPr="00DF7AC8">
        <w:rPr>
          <w:rFonts w:eastAsia="MS Mincho"/>
          <w:lang w:eastAsia="ja-JP"/>
        </w:rPr>
        <w:t>subframe</w:t>
      </w:r>
      <w:proofErr w:type="spellEnd"/>
      <w:r w:rsidRPr="00DF7AC8">
        <w:rPr>
          <w:rFonts w:eastAsia="MS Mincho"/>
          <w:lang w:eastAsia="ja-JP"/>
        </w:rPr>
        <w:t xml:space="preserve"> duration is defined by </w:t>
      </w:r>
      <w:r w:rsidRPr="00DF7AC8">
        <w:rPr>
          <w:rFonts w:eastAsia="MS Mincho" w:hint="eastAsia"/>
          <w:lang w:eastAsia="ja-JP"/>
        </w:rPr>
        <w:t xml:space="preserve">the duration of </w:t>
      </w:r>
      <w:r w:rsidRPr="00DF7AC8">
        <w:rPr>
          <w:rFonts w:eastAsia="MS Mincho"/>
          <w:i/>
          <w:iCs/>
          <w:lang w:eastAsia="ja-JP"/>
        </w:rPr>
        <w:t>x</w:t>
      </w:r>
      <w:r w:rsidRPr="00DF7AC8">
        <w:rPr>
          <w:rFonts w:eastAsia="MS Mincho"/>
          <w:lang w:eastAsia="ja-JP"/>
        </w:rPr>
        <w:t xml:space="preserve"> OFDM symbols given </w:t>
      </w:r>
      <w:r w:rsidRPr="00DF7AC8">
        <w:rPr>
          <w:rFonts w:eastAsia="MS Mincho" w:hint="eastAsia"/>
          <w:lang w:eastAsia="ja-JP"/>
        </w:rPr>
        <w:t xml:space="preserve">a reference numerology </w:t>
      </w:r>
    </w:p>
    <w:p w:rsidR="00DB3BC8" w:rsidRPr="00745611" w:rsidRDefault="00DB3BC8" w:rsidP="00DB3BC8">
      <w:pPr>
        <w:rPr>
          <w:rFonts w:eastAsia="MS Mincho"/>
          <w:b/>
          <w:u w:val="single"/>
          <w:lang w:eastAsia="ja-JP"/>
        </w:rPr>
      </w:pPr>
      <w:r w:rsidRPr="00080908">
        <w:rPr>
          <w:rFonts w:eastAsia="MS Mincho" w:hint="eastAsia"/>
          <w:b/>
          <w:highlight w:val="green"/>
          <w:u w:val="single"/>
          <w:lang w:eastAsia="ja-JP"/>
        </w:rPr>
        <w:t>Agreements:</w:t>
      </w:r>
    </w:p>
    <w:p w:rsidR="00DB3BC8" w:rsidRPr="00AD2B5E" w:rsidRDefault="00DB3BC8" w:rsidP="00DB3BC8">
      <w:pPr>
        <w:numPr>
          <w:ilvl w:val="0"/>
          <w:numId w:val="14"/>
        </w:numPr>
        <w:rPr>
          <w:rFonts w:eastAsia="MS Mincho"/>
          <w:lang w:eastAsia="ja-JP"/>
        </w:rPr>
      </w:pPr>
      <w:r w:rsidRPr="00AD2B5E">
        <w:rPr>
          <w:rFonts w:eastAsia="MS Mincho" w:hint="eastAsia"/>
          <w:lang w:eastAsia="ja-JP"/>
        </w:rPr>
        <w:t>Followings are considered as starting points of NR frame structure</w:t>
      </w:r>
      <w:r>
        <w:rPr>
          <w:rFonts w:eastAsia="MS Mincho" w:hint="eastAsia"/>
          <w:lang w:eastAsia="ja-JP"/>
        </w:rPr>
        <w:t xml:space="preserve"> at least within the CP overhead </w:t>
      </w:r>
    </w:p>
    <w:p w:rsidR="00DB3BC8" w:rsidRPr="00AD2B5E" w:rsidRDefault="00DB3BC8" w:rsidP="00DB3BC8">
      <w:pPr>
        <w:numPr>
          <w:ilvl w:val="1"/>
          <w:numId w:val="14"/>
        </w:numPr>
        <w:rPr>
          <w:rFonts w:eastAsia="MS Mincho"/>
          <w:lang w:eastAsia="ja-JP"/>
        </w:rPr>
      </w:pPr>
      <w:proofErr w:type="spellStart"/>
      <w:r w:rsidRPr="00AD2B5E">
        <w:rPr>
          <w:rFonts w:eastAsia="MS Mincho"/>
          <w:lang w:eastAsia="ja-JP"/>
        </w:rPr>
        <w:t>Subframe</w:t>
      </w:r>
      <w:proofErr w:type="spellEnd"/>
    </w:p>
    <w:p w:rsidR="00DB3BC8" w:rsidRPr="00AD2B5E" w:rsidRDefault="00DB3BC8" w:rsidP="00DB3BC8">
      <w:pPr>
        <w:numPr>
          <w:ilvl w:val="2"/>
          <w:numId w:val="14"/>
        </w:numPr>
        <w:rPr>
          <w:rFonts w:eastAsia="MS Mincho"/>
          <w:lang w:eastAsia="ja-JP"/>
        </w:rPr>
      </w:pPr>
      <w:r w:rsidRPr="00AD2B5E">
        <w:rPr>
          <w:rFonts w:eastAsia="MS Mincho"/>
          <w:lang w:eastAsia="ja-JP"/>
        </w:rPr>
        <w:t>Already agreed upon</w:t>
      </w:r>
    </w:p>
    <w:p w:rsidR="00DB3BC8" w:rsidRPr="00AD2B5E" w:rsidRDefault="00DB3BC8" w:rsidP="00DB3BC8">
      <w:pPr>
        <w:numPr>
          <w:ilvl w:val="2"/>
          <w:numId w:val="14"/>
        </w:numPr>
        <w:rPr>
          <w:rFonts w:eastAsia="MS Mincho"/>
          <w:lang w:eastAsia="ja-JP"/>
        </w:rPr>
      </w:pPr>
      <w:r w:rsidRPr="00AD2B5E">
        <w:rPr>
          <w:rFonts w:eastAsia="MS Mincho"/>
          <w:lang w:eastAsia="ja-JP"/>
        </w:rPr>
        <w:t xml:space="preserve">Assume x=14 in the reference numerology for </w:t>
      </w:r>
      <w:proofErr w:type="spellStart"/>
      <w:r w:rsidRPr="00AD2B5E">
        <w:rPr>
          <w:rFonts w:eastAsia="MS Mincho"/>
          <w:lang w:eastAsia="ja-JP"/>
        </w:rPr>
        <w:t>subframe</w:t>
      </w:r>
      <w:proofErr w:type="spellEnd"/>
      <w:r w:rsidRPr="00AD2B5E">
        <w:rPr>
          <w:rFonts w:eastAsia="MS Mincho"/>
          <w:lang w:eastAsia="ja-JP"/>
        </w:rPr>
        <w:t xml:space="preserve"> definition (for normal CP)</w:t>
      </w:r>
    </w:p>
    <w:p w:rsidR="00DB3BC8" w:rsidRPr="009E7214" w:rsidRDefault="00DB3BC8" w:rsidP="00DB3BC8">
      <w:pPr>
        <w:rPr>
          <w:rFonts w:eastAsia="MS Mincho"/>
          <w:lang w:eastAsia="ja-JP"/>
        </w:rPr>
      </w:pPr>
    </w:p>
    <w:p w:rsidR="00DB3BC8" w:rsidRPr="00C50F8E" w:rsidRDefault="00DB3BC8" w:rsidP="00DB3BC8">
      <w:pPr>
        <w:rPr>
          <w:rFonts w:eastAsia="MS Mincho"/>
          <w:b/>
          <w:u w:val="single"/>
          <w:lang w:eastAsia="ja-JP"/>
        </w:rPr>
      </w:pPr>
      <w:r w:rsidRPr="006147BA">
        <w:rPr>
          <w:rFonts w:eastAsia="MS Mincho" w:hint="eastAsia"/>
          <w:b/>
          <w:highlight w:val="green"/>
          <w:u w:val="single"/>
          <w:lang w:eastAsia="ja-JP"/>
        </w:rPr>
        <w:t>Agreements:</w:t>
      </w:r>
    </w:p>
    <w:p w:rsidR="00DB3BC8" w:rsidRPr="00AF7B03" w:rsidRDefault="00DB3BC8" w:rsidP="00DB3BC8">
      <w:pPr>
        <w:numPr>
          <w:ilvl w:val="0"/>
          <w:numId w:val="12"/>
        </w:numPr>
        <w:rPr>
          <w:rFonts w:eastAsia="MS Mincho"/>
          <w:lang w:eastAsia="ja-JP"/>
        </w:rPr>
      </w:pPr>
      <w:proofErr w:type="spellStart"/>
      <w:r w:rsidRPr="00C50F8E">
        <w:rPr>
          <w:rFonts w:eastAsia="MS Mincho"/>
          <w:lang w:eastAsia="ja-JP"/>
        </w:rPr>
        <w:t>Subframe</w:t>
      </w:r>
      <w:proofErr w:type="spellEnd"/>
      <w:r w:rsidRPr="00C50F8E">
        <w:rPr>
          <w:rFonts w:eastAsia="MS Mincho"/>
          <w:lang w:eastAsia="ja-JP"/>
        </w:rPr>
        <w:t xml:space="preserve"> duration in </w:t>
      </w:r>
      <w:proofErr w:type="spellStart"/>
      <w:r w:rsidRPr="00C50F8E">
        <w:rPr>
          <w:rFonts w:eastAsia="MS Mincho"/>
          <w:lang w:eastAsia="ja-JP"/>
        </w:rPr>
        <w:t>ms</w:t>
      </w:r>
      <w:proofErr w:type="spellEnd"/>
      <w:r w:rsidRPr="00C50F8E">
        <w:rPr>
          <w:rFonts w:eastAsia="MS Mincho"/>
          <w:lang w:eastAsia="ja-JP"/>
        </w:rPr>
        <w:t xml:space="preserve"> for a </w:t>
      </w:r>
      <w:r>
        <w:rPr>
          <w:rFonts w:eastAsia="MS Mincho" w:hint="eastAsia"/>
          <w:lang w:eastAsia="ja-JP"/>
        </w:rPr>
        <w:t xml:space="preserve">reference numerology with </w:t>
      </w:r>
      <w:r w:rsidRPr="00C50F8E">
        <w:rPr>
          <w:rFonts w:eastAsia="MS Mincho"/>
          <w:lang w:eastAsia="ja-JP"/>
        </w:rPr>
        <w:t>subcarrier spacing (2</w:t>
      </w:r>
      <w:r w:rsidRPr="00C50F8E">
        <w:rPr>
          <w:rFonts w:eastAsia="MS Mincho"/>
          <w:vertAlign w:val="superscript"/>
          <w:lang w:eastAsia="ja-JP"/>
        </w:rPr>
        <w:t>m</w:t>
      </w:r>
      <w:r w:rsidRPr="00C50F8E">
        <w:rPr>
          <w:rFonts w:eastAsia="MS Mincho"/>
          <w:lang w:eastAsia="ja-JP"/>
        </w:rPr>
        <w:t>*</w:t>
      </w:r>
      <w:proofErr w:type="gramStart"/>
      <w:r w:rsidRPr="00C50F8E">
        <w:rPr>
          <w:rFonts w:eastAsia="MS Mincho"/>
          <w:lang w:eastAsia="ja-JP"/>
        </w:rPr>
        <w:t>15)kHz</w:t>
      </w:r>
      <w:proofErr w:type="gramEnd"/>
      <w:r w:rsidRPr="00C50F8E">
        <w:rPr>
          <w:rFonts w:eastAsia="MS Mincho"/>
          <w:lang w:eastAsia="ja-JP"/>
        </w:rPr>
        <w:t xml:space="preserve"> is exactly </w:t>
      </w:r>
      <w:r>
        <w:rPr>
          <w:rFonts w:eastAsia="MS Mincho" w:hint="eastAsia"/>
          <w:lang w:eastAsia="ja-JP"/>
        </w:rPr>
        <w:t>1/</w:t>
      </w:r>
      <w:r w:rsidRPr="00C50F8E">
        <w:rPr>
          <w:rFonts w:eastAsia="MS Mincho"/>
          <w:lang w:eastAsia="ja-JP"/>
        </w:rPr>
        <w:t>2</w:t>
      </w:r>
      <w:r w:rsidRPr="00C50F8E">
        <w:rPr>
          <w:rFonts w:eastAsia="MS Mincho"/>
          <w:vertAlign w:val="superscript"/>
          <w:lang w:eastAsia="ja-JP"/>
        </w:rPr>
        <w:t>m</w:t>
      </w:r>
      <w:r w:rsidRPr="00C50F8E">
        <w:rPr>
          <w:rFonts w:eastAsia="MS Mincho"/>
          <w:lang w:eastAsia="ja-JP"/>
        </w:rPr>
        <w:t xml:space="preserve"> </w:t>
      </w:r>
      <w:proofErr w:type="spellStart"/>
      <w:r>
        <w:rPr>
          <w:rFonts w:eastAsia="MS Mincho" w:hint="eastAsia"/>
          <w:lang w:eastAsia="ja-JP"/>
        </w:rPr>
        <w:t>ms</w:t>
      </w:r>
      <w:proofErr w:type="spellEnd"/>
    </w:p>
    <w:p w:rsidR="00DB3BC8" w:rsidRDefault="00DB3BC8" w:rsidP="00DB3BC8">
      <w:pPr>
        <w:rPr>
          <w:rFonts w:eastAsia="MS Mincho"/>
          <w:b/>
          <w:highlight w:val="darkYellow"/>
          <w:u w:val="single"/>
          <w:lang w:eastAsia="ja-JP"/>
        </w:rPr>
      </w:pPr>
    </w:p>
    <w:p w:rsidR="00DB3BC8" w:rsidRPr="00FA239B" w:rsidRDefault="00DB3BC8" w:rsidP="00DB3BC8">
      <w:pPr>
        <w:rPr>
          <w:rFonts w:eastAsia="MS Mincho"/>
          <w:b/>
          <w:u w:val="single"/>
          <w:lang w:eastAsia="ja-JP"/>
        </w:rPr>
      </w:pPr>
      <w:r w:rsidRPr="006147BA">
        <w:rPr>
          <w:rFonts w:eastAsia="MS Mincho" w:hint="eastAsia"/>
          <w:b/>
          <w:highlight w:val="darkYellow"/>
          <w:u w:val="single"/>
          <w:lang w:eastAsia="ja-JP"/>
        </w:rPr>
        <w:t>Working assumption:</w:t>
      </w:r>
    </w:p>
    <w:p w:rsidR="00DB3BC8" w:rsidRPr="00C50F8E" w:rsidRDefault="00DB3BC8" w:rsidP="00DB3BC8">
      <w:pPr>
        <w:numPr>
          <w:ilvl w:val="0"/>
          <w:numId w:val="12"/>
        </w:numPr>
        <w:rPr>
          <w:rFonts w:eastAsia="MS Mincho"/>
          <w:lang w:eastAsia="ja-JP"/>
        </w:rPr>
      </w:pPr>
      <w:r w:rsidRPr="00C50F8E">
        <w:rPr>
          <w:rFonts w:eastAsia="MS Mincho"/>
          <w:lang w:eastAsia="ja-JP"/>
        </w:rPr>
        <w:t xml:space="preserve">Alignment within a </w:t>
      </w:r>
      <w:proofErr w:type="spellStart"/>
      <w:r w:rsidRPr="00C50F8E">
        <w:rPr>
          <w:rFonts w:eastAsia="MS Mincho"/>
          <w:lang w:eastAsia="ja-JP"/>
        </w:rPr>
        <w:t>subframe</w:t>
      </w:r>
      <w:proofErr w:type="spellEnd"/>
    </w:p>
    <w:p w:rsidR="00DB3BC8" w:rsidRDefault="00DB3BC8" w:rsidP="00DB3BC8">
      <w:pPr>
        <w:numPr>
          <w:ilvl w:val="1"/>
          <w:numId w:val="12"/>
        </w:numPr>
        <w:rPr>
          <w:rFonts w:eastAsia="MS Mincho"/>
          <w:lang w:eastAsia="ja-JP"/>
        </w:rPr>
      </w:pPr>
      <w:r w:rsidRPr="00C50F8E">
        <w:rPr>
          <w:rFonts w:eastAsia="MS Mincho"/>
          <w:lang w:eastAsia="ja-JP"/>
        </w:rPr>
        <w:t xml:space="preserve">Symbol level alignment across different subcarrier </w:t>
      </w:r>
      <w:proofErr w:type="spellStart"/>
      <w:r w:rsidRPr="00C50F8E">
        <w:rPr>
          <w:rFonts w:eastAsia="MS Mincho"/>
          <w:lang w:eastAsia="ja-JP"/>
        </w:rPr>
        <w:t>spacings</w:t>
      </w:r>
      <w:proofErr w:type="spellEnd"/>
      <w:r w:rsidRPr="00C50F8E">
        <w:rPr>
          <w:rFonts w:eastAsia="MS Mincho"/>
          <w:lang w:eastAsia="ja-JP"/>
        </w:rPr>
        <w:t xml:space="preserve"> with the same CP overhead is assumed within a </w:t>
      </w:r>
      <w:proofErr w:type="spellStart"/>
      <w:r w:rsidRPr="00C50F8E">
        <w:rPr>
          <w:rFonts w:eastAsia="MS Mincho"/>
          <w:lang w:eastAsia="ja-JP"/>
        </w:rPr>
        <w:t>subframe</w:t>
      </w:r>
      <w:proofErr w:type="spellEnd"/>
      <w:r w:rsidRPr="00C50F8E">
        <w:rPr>
          <w:rFonts w:eastAsia="MS Mincho"/>
          <w:lang w:eastAsia="ja-JP"/>
        </w:rPr>
        <w:t xml:space="preserve"> duration in a NR carrier</w:t>
      </w:r>
    </w:p>
    <w:p w:rsidR="00DB3BC8" w:rsidRDefault="00DB3BC8" w:rsidP="00DB3BC8">
      <w:pPr>
        <w:numPr>
          <w:ilvl w:val="1"/>
          <w:numId w:val="12"/>
        </w:numPr>
        <w:rPr>
          <w:rFonts w:eastAsia="MS Mincho"/>
          <w:lang w:eastAsia="ja-JP"/>
        </w:rPr>
      </w:pPr>
      <w:r>
        <w:rPr>
          <w:rFonts w:eastAsia="MS Mincho" w:hint="eastAsia"/>
          <w:lang w:eastAsia="ja-JP"/>
        </w:rPr>
        <w:t>FFS: Unlicensed spectrum case</w:t>
      </w:r>
    </w:p>
    <w:p w:rsidR="00DB3BC8" w:rsidRDefault="00DB3BC8" w:rsidP="00DB3BC8">
      <w:pPr>
        <w:rPr>
          <w:rFonts w:eastAsia="MS Mincho"/>
          <w:lang w:eastAsia="ja-JP"/>
        </w:rPr>
      </w:pPr>
    </w:p>
    <w:p w:rsidR="00DB3BC8" w:rsidRPr="00DB3BC8" w:rsidRDefault="00DB3BC8" w:rsidP="00DB3BC8">
      <w:pPr>
        <w:pStyle w:val="BodyText"/>
      </w:pPr>
    </w:p>
    <w:sectPr w:rsidR="00DB3BC8" w:rsidRPr="00DB3BC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611" w:rsidRDefault="00583611">
      <w:r>
        <w:separator/>
      </w:r>
    </w:p>
  </w:endnote>
  <w:endnote w:type="continuationSeparator" w:id="0">
    <w:p w:rsidR="00583611" w:rsidRDefault="00583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611" w:rsidRDefault="00583611">
      <w:r>
        <w:separator/>
      </w:r>
    </w:p>
  </w:footnote>
  <w:footnote w:type="continuationSeparator" w:id="0">
    <w:p w:rsidR="00583611" w:rsidRDefault="00583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57" w:rsidRDefault="00583611"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7"/>
  </w:num>
  <w:num w:numId="3">
    <w:abstractNumId w:val="4"/>
  </w:num>
  <w:num w:numId="4">
    <w:abstractNumId w:val="8"/>
  </w:num>
  <w:num w:numId="5">
    <w:abstractNumId w:val="5"/>
  </w:num>
  <w:num w:numId="6">
    <w:abstractNumId w:val="2"/>
  </w:num>
  <w:num w:numId="7">
    <w:abstractNumId w:val="11"/>
  </w:num>
  <w:num w:numId="8">
    <w:abstractNumId w:val="13"/>
  </w:num>
  <w:num w:numId="9">
    <w:abstractNumId w:val="13"/>
  </w:num>
  <w:num w:numId="10">
    <w:abstractNumId w:val="12"/>
  </w:num>
  <w:num w:numId="11">
    <w:abstractNumId w:val="13"/>
  </w:num>
  <w:num w:numId="12">
    <w:abstractNumId w:val="10"/>
  </w:num>
  <w:num w:numId="13">
    <w:abstractNumId w:val="1"/>
  </w:num>
  <w:num w:numId="14">
    <w:abstractNumId w:val="3"/>
  </w:num>
  <w:num w:numId="15">
    <w:abstractNumId w:val="9"/>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25476"/>
    <w:rsid w:val="00037C51"/>
    <w:rsid w:val="0004251E"/>
    <w:rsid w:val="000A258F"/>
    <w:rsid w:val="001018DF"/>
    <w:rsid w:val="00112E18"/>
    <w:rsid w:val="00114B6A"/>
    <w:rsid w:val="00141448"/>
    <w:rsid w:val="00175D32"/>
    <w:rsid w:val="00191E60"/>
    <w:rsid w:val="001B4110"/>
    <w:rsid w:val="001C5CE9"/>
    <w:rsid w:val="0021013F"/>
    <w:rsid w:val="00214784"/>
    <w:rsid w:val="00290099"/>
    <w:rsid w:val="002D0AB6"/>
    <w:rsid w:val="002E6A70"/>
    <w:rsid w:val="00304706"/>
    <w:rsid w:val="00343A18"/>
    <w:rsid w:val="00350180"/>
    <w:rsid w:val="00361CA8"/>
    <w:rsid w:val="003875A3"/>
    <w:rsid w:val="003A3E47"/>
    <w:rsid w:val="004067C0"/>
    <w:rsid w:val="00422F7B"/>
    <w:rsid w:val="004837C7"/>
    <w:rsid w:val="004B57FD"/>
    <w:rsid w:val="004C321E"/>
    <w:rsid w:val="004E70DB"/>
    <w:rsid w:val="00525831"/>
    <w:rsid w:val="00537B4C"/>
    <w:rsid w:val="0054164C"/>
    <w:rsid w:val="00541E43"/>
    <w:rsid w:val="0055264E"/>
    <w:rsid w:val="0056282E"/>
    <w:rsid w:val="00570BCE"/>
    <w:rsid w:val="00583611"/>
    <w:rsid w:val="00587AD2"/>
    <w:rsid w:val="005C439D"/>
    <w:rsid w:val="00600E05"/>
    <w:rsid w:val="0061336B"/>
    <w:rsid w:val="0062673F"/>
    <w:rsid w:val="00665E2A"/>
    <w:rsid w:val="006A286A"/>
    <w:rsid w:val="006B271B"/>
    <w:rsid w:val="0075384C"/>
    <w:rsid w:val="007569CA"/>
    <w:rsid w:val="007A01C0"/>
    <w:rsid w:val="00815566"/>
    <w:rsid w:val="00834DE7"/>
    <w:rsid w:val="008A0B64"/>
    <w:rsid w:val="008B23D4"/>
    <w:rsid w:val="008E31D2"/>
    <w:rsid w:val="008F77A7"/>
    <w:rsid w:val="0097401A"/>
    <w:rsid w:val="009A6BB8"/>
    <w:rsid w:val="009B2E48"/>
    <w:rsid w:val="009C60EA"/>
    <w:rsid w:val="009E70EF"/>
    <w:rsid w:val="009F4079"/>
    <w:rsid w:val="00A3059E"/>
    <w:rsid w:val="00A37001"/>
    <w:rsid w:val="00A41E84"/>
    <w:rsid w:val="00A47015"/>
    <w:rsid w:val="00A757B8"/>
    <w:rsid w:val="00A81AA1"/>
    <w:rsid w:val="00A85E54"/>
    <w:rsid w:val="00AA0A42"/>
    <w:rsid w:val="00AA13EF"/>
    <w:rsid w:val="00AC2A5F"/>
    <w:rsid w:val="00AE3947"/>
    <w:rsid w:val="00B00FDB"/>
    <w:rsid w:val="00B368D9"/>
    <w:rsid w:val="00B52C5F"/>
    <w:rsid w:val="00BA2CDD"/>
    <w:rsid w:val="00BA3D9B"/>
    <w:rsid w:val="00BA76BC"/>
    <w:rsid w:val="00BF7E13"/>
    <w:rsid w:val="00C1560A"/>
    <w:rsid w:val="00C326A6"/>
    <w:rsid w:val="00C50B3C"/>
    <w:rsid w:val="00C52ACD"/>
    <w:rsid w:val="00C55346"/>
    <w:rsid w:val="00C61496"/>
    <w:rsid w:val="00C93774"/>
    <w:rsid w:val="00CE02E7"/>
    <w:rsid w:val="00CE28B2"/>
    <w:rsid w:val="00CF2225"/>
    <w:rsid w:val="00CF67BE"/>
    <w:rsid w:val="00D02349"/>
    <w:rsid w:val="00D03119"/>
    <w:rsid w:val="00D04257"/>
    <w:rsid w:val="00D350E3"/>
    <w:rsid w:val="00D516DD"/>
    <w:rsid w:val="00D701A0"/>
    <w:rsid w:val="00DA110D"/>
    <w:rsid w:val="00DB3BC8"/>
    <w:rsid w:val="00DC085D"/>
    <w:rsid w:val="00DD4245"/>
    <w:rsid w:val="00DE3421"/>
    <w:rsid w:val="00E0407B"/>
    <w:rsid w:val="00E220C0"/>
    <w:rsid w:val="00E57CED"/>
    <w:rsid w:val="00E63D88"/>
    <w:rsid w:val="00E83054"/>
    <w:rsid w:val="00EA148A"/>
    <w:rsid w:val="00EA172F"/>
    <w:rsid w:val="00EA1984"/>
    <w:rsid w:val="00F21365"/>
    <w:rsid w:val="00F37D49"/>
    <w:rsid w:val="00FB04C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D7BD9-2555-47EF-AD23-F9E62A9D5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2016-09-29T12:31:00Z</dcterms:created>
  <dcterms:modified xsi:type="dcterms:W3CDTF">2016-09-29T12:31:00Z</dcterms:modified>
</cp:coreProperties>
</file>